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6D" w:rsidRPr="002876BF" w:rsidRDefault="0076176D" w:rsidP="0076176D">
      <w:pPr>
        <w:ind w:firstLine="720"/>
        <w:jc w:val="both"/>
        <w:rPr>
          <w:sz w:val="28"/>
          <w:szCs w:val="28"/>
          <w:lang w:val="vi-VN"/>
        </w:rPr>
      </w:pPr>
    </w:p>
    <w:p w:rsidR="0076176D" w:rsidRPr="002876BF" w:rsidRDefault="0076176D" w:rsidP="0076176D">
      <w:pPr>
        <w:jc w:val="center"/>
        <w:rPr>
          <w:b/>
          <w:sz w:val="28"/>
          <w:szCs w:val="28"/>
        </w:rPr>
      </w:pPr>
      <w:r w:rsidRPr="002876BF">
        <w:rPr>
          <w:b/>
          <w:sz w:val="28"/>
          <w:szCs w:val="28"/>
          <w:lang w:val="vi-VN"/>
        </w:rPr>
        <w:t>GIẢI THÍCH BIỂU MẪU 07b/BTP/KSTT/</w:t>
      </w:r>
      <w:r w:rsidRPr="002876BF">
        <w:rPr>
          <w:b/>
          <w:sz w:val="28"/>
          <w:szCs w:val="28"/>
        </w:rPr>
        <w:t>RSĐGH</w:t>
      </w:r>
    </w:p>
    <w:p w:rsidR="0076176D" w:rsidRPr="002876BF" w:rsidRDefault="0076176D" w:rsidP="0076176D">
      <w:pPr>
        <w:jc w:val="center"/>
        <w:rPr>
          <w:b/>
          <w:sz w:val="28"/>
          <w:szCs w:val="28"/>
          <w:lang w:val="vi-VN"/>
        </w:rPr>
      </w:pPr>
      <w:r w:rsidRPr="002876BF">
        <w:rPr>
          <w:b/>
          <w:sz w:val="28"/>
          <w:szCs w:val="28"/>
          <w:lang w:val="vi-VN"/>
        </w:rPr>
        <w:t xml:space="preserve">KẾT QUẢ RÀ SOÁT, ĐƠN GIẢN HÓA </w:t>
      </w:r>
      <w:r w:rsidRPr="002876BF">
        <w:rPr>
          <w:b/>
          <w:sz w:val="28"/>
          <w:szCs w:val="28"/>
          <w:lang w:val="pt-BR"/>
        </w:rPr>
        <w:t>THỦ TỤC HÀNH CHÍNH</w:t>
      </w:r>
    </w:p>
    <w:p w:rsidR="0076176D" w:rsidRPr="002876BF" w:rsidRDefault="0076176D" w:rsidP="0076176D">
      <w:pPr>
        <w:ind w:firstLine="720"/>
        <w:jc w:val="both"/>
        <w:rPr>
          <w:b/>
          <w:i/>
          <w:sz w:val="28"/>
          <w:szCs w:val="28"/>
          <w:lang w:val="vi-VN"/>
        </w:rPr>
      </w:pPr>
      <w:r w:rsidRPr="002876BF">
        <w:rPr>
          <w:b/>
          <w:sz w:val="28"/>
          <w:szCs w:val="28"/>
          <w:lang w:val="vi-VN"/>
        </w:rPr>
        <w:t xml:space="preserve">1. Nội dung: </w:t>
      </w:r>
      <w:r w:rsidRPr="002876BF">
        <w:rPr>
          <w:b/>
          <w:i/>
          <w:sz w:val="28"/>
          <w:szCs w:val="28"/>
          <w:lang w:val="vi-VN"/>
        </w:rPr>
        <w:t xml:space="preserve"> </w:t>
      </w:r>
    </w:p>
    <w:p w:rsidR="0076176D" w:rsidRPr="002876BF" w:rsidRDefault="0076176D" w:rsidP="0076176D">
      <w:pPr>
        <w:jc w:val="both"/>
        <w:rPr>
          <w:sz w:val="28"/>
          <w:szCs w:val="28"/>
          <w:lang w:val="vi-VN"/>
        </w:rPr>
      </w:pPr>
      <w:r w:rsidRPr="002876BF">
        <w:rPr>
          <w:sz w:val="28"/>
          <w:szCs w:val="28"/>
          <w:lang w:val="vi-VN"/>
        </w:rPr>
        <w:tab/>
        <w:t>Tổng hợp số liệu TTHC và số VBQPPL được rà soát, đánh giá h</w:t>
      </w:r>
      <w:r>
        <w:rPr>
          <w:sz w:val="28"/>
          <w:szCs w:val="28"/>
        </w:rPr>
        <w:t>à</w:t>
      </w:r>
      <w:r w:rsidRPr="002876BF">
        <w:rPr>
          <w:sz w:val="28"/>
          <w:szCs w:val="28"/>
          <w:lang w:val="vi-VN"/>
        </w:rPr>
        <w:t xml:space="preserve">ng năm theo Kế hoạch định kỳ của </w:t>
      </w:r>
      <w:r>
        <w:rPr>
          <w:sz w:val="28"/>
          <w:szCs w:val="28"/>
        </w:rPr>
        <w:t>b</w:t>
      </w:r>
      <w:r>
        <w:rPr>
          <w:sz w:val="28"/>
          <w:szCs w:val="28"/>
          <w:lang w:val="vi-VN"/>
        </w:rPr>
        <w:t>ộ, cơ quan ngang bộ</w:t>
      </w:r>
      <w:r w:rsidRPr="002876BF">
        <w:rPr>
          <w:sz w:val="28"/>
          <w:szCs w:val="28"/>
          <w:lang w:val="vi-VN"/>
        </w:rPr>
        <w:t xml:space="preserve"> hoặc Kế hoạch trọng tâm của Thủ tướng Chính phủ.</w:t>
      </w:r>
    </w:p>
    <w:p w:rsidR="0076176D" w:rsidRPr="002876BF" w:rsidRDefault="0076176D" w:rsidP="0076176D">
      <w:pPr>
        <w:ind w:firstLine="720"/>
        <w:jc w:val="both"/>
        <w:rPr>
          <w:sz w:val="28"/>
          <w:szCs w:val="28"/>
          <w:lang w:val="vi-VN"/>
        </w:rPr>
      </w:pPr>
      <w:r w:rsidRPr="002876BF">
        <w:rPr>
          <w:sz w:val="28"/>
          <w:szCs w:val="28"/>
          <w:lang w:val="vi-VN"/>
        </w:rPr>
        <w:tab/>
        <w:t xml:space="preserve"> </w:t>
      </w:r>
      <w:r w:rsidRPr="002876BF">
        <w:rPr>
          <w:sz w:val="28"/>
          <w:szCs w:val="28"/>
          <w:lang w:val="vi-VN"/>
        </w:rPr>
        <w:tab/>
      </w:r>
    </w:p>
    <w:p w:rsidR="0076176D" w:rsidRPr="002876BF" w:rsidRDefault="0076176D" w:rsidP="0076176D">
      <w:pPr>
        <w:ind w:firstLine="720"/>
        <w:jc w:val="both"/>
        <w:rPr>
          <w:b/>
          <w:sz w:val="28"/>
          <w:szCs w:val="28"/>
          <w:lang w:val="vi-VN"/>
        </w:rPr>
      </w:pPr>
      <w:r w:rsidRPr="002876BF">
        <w:rPr>
          <w:b/>
          <w:sz w:val="28"/>
          <w:szCs w:val="28"/>
          <w:lang w:val="vi-VN"/>
        </w:rPr>
        <w:t>2. Phương pháp tính và cách ghi biểu:</w:t>
      </w:r>
    </w:p>
    <w:p w:rsidR="0076176D" w:rsidRPr="002876BF" w:rsidRDefault="0076176D" w:rsidP="0076176D">
      <w:pPr>
        <w:ind w:firstLine="720"/>
        <w:jc w:val="both"/>
        <w:rPr>
          <w:sz w:val="28"/>
          <w:szCs w:val="28"/>
          <w:lang w:val="vi-VN"/>
        </w:rPr>
      </w:pPr>
      <w:r w:rsidRPr="002876BF">
        <w:rPr>
          <w:sz w:val="28"/>
          <w:szCs w:val="28"/>
          <w:lang w:val="vi-VN"/>
        </w:rPr>
        <w:t xml:space="preserve">- Mục I cột A: Ghi tên </w:t>
      </w:r>
      <w:r>
        <w:rPr>
          <w:sz w:val="28"/>
          <w:szCs w:val="28"/>
        </w:rPr>
        <w:t>b</w:t>
      </w:r>
      <w:r>
        <w:rPr>
          <w:sz w:val="28"/>
          <w:szCs w:val="28"/>
          <w:lang w:val="vi-VN"/>
        </w:rPr>
        <w:t>ộ, cơ quan ngang bộ</w:t>
      </w:r>
      <w:r w:rsidRPr="002876BF">
        <w:rPr>
          <w:sz w:val="28"/>
          <w:szCs w:val="28"/>
          <w:lang w:val="vi-VN"/>
        </w:rPr>
        <w:t xml:space="preserve">, các cơ quan: Bảo hiểm xã hội Việt Nam, Ngân hàng Phát triển Việt Nam, Ngân hàng Chính sách xã hội, UBND tỉnh, thành phố trực thuộc trung ương có ban hành Kế hoạch rà soát định kỳ hàng năm. </w:t>
      </w:r>
    </w:p>
    <w:p w:rsidR="0076176D" w:rsidRPr="002876BF" w:rsidRDefault="0076176D" w:rsidP="0076176D">
      <w:pPr>
        <w:ind w:firstLine="720"/>
        <w:jc w:val="both"/>
        <w:rPr>
          <w:sz w:val="28"/>
          <w:szCs w:val="28"/>
          <w:lang w:val="vi-VN"/>
        </w:rPr>
      </w:pPr>
      <w:r w:rsidRPr="002876BF">
        <w:rPr>
          <w:sz w:val="28"/>
          <w:szCs w:val="28"/>
          <w:lang w:val="vi-VN"/>
        </w:rPr>
        <w:t xml:space="preserve">- Mục II cột A: Ghi tên </w:t>
      </w:r>
      <w:r>
        <w:rPr>
          <w:sz w:val="28"/>
          <w:szCs w:val="28"/>
        </w:rPr>
        <w:t>b</w:t>
      </w:r>
      <w:r w:rsidRPr="002876BF">
        <w:rPr>
          <w:sz w:val="28"/>
          <w:szCs w:val="28"/>
          <w:lang w:val="vi-VN"/>
        </w:rPr>
        <w:t>ộ, cơ quan được Thủ tướng Chính phủ giao nhiệm vụ rà soát, đánh giá TTHC trong Kế hoạch trọng tâm của Thủ tướng.</w:t>
      </w:r>
    </w:p>
    <w:p w:rsidR="0076176D" w:rsidRPr="002876BF" w:rsidRDefault="0076176D" w:rsidP="0076176D">
      <w:pPr>
        <w:ind w:firstLine="720"/>
        <w:jc w:val="both"/>
        <w:rPr>
          <w:sz w:val="28"/>
          <w:szCs w:val="28"/>
          <w:lang w:val="vi-VN"/>
        </w:rPr>
      </w:pPr>
      <w:r w:rsidRPr="002876BF">
        <w:rPr>
          <w:sz w:val="28"/>
          <w:szCs w:val="28"/>
          <w:lang w:val="vi-VN"/>
        </w:rPr>
        <w:t>- Cột 1: Ghi số lượng TTHC hoặc nhóm TTHC được giao rà soát, đơn giản hóa đã được phê duyệt trong Kế hoạch rà soát.</w:t>
      </w:r>
    </w:p>
    <w:p w:rsidR="0076176D" w:rsidRPr="002876BF" w:rsidRDefault="0076176D" w:rsidP="0076176D">
      <w:pPr>
        <w:ind w:firstLine="720"/>
        <w:jc w:val="both"/>
        <w:rPr>
          <w:sz w:val="28"/>
          <w:szCs w:val="28"/>
          <w:lang w:val="vi-VN"/>
        </w:rPr>
      </w:pPr>
      <w:r w:rsidRPr="002876BF">
        <w:rPr>
          <w:sz w:val="28"/>
          <w:szCs w:val="28"/>
          <w:lang w:val="vi-VN"/>
        </w:rPr>
        <w:t>- Cột 3 = Cột (4+5+6);</w:t>
      </w:r>
    </w:p>
    <w:p w:rsidR="0076176D" w:rsidRPr="002876BF" w:rsidRDefault="0076176D" w:rsidP="0076176D">
      <w:pPr>
        <w:tabs>
          <w:tab w:val="left" w:pos="900"/>
        </w:tabs>
        <w:ind w:left="360" w:firstLine="360"/>
        <w:rPr>
          <w:sz w:val="28"/>
          <w:szCs w:val="28"/>
          <w:lang w:val="vi-VN"/>
        </w:rPr>
      </w:pPr>
      <w:r w:rsidRPr="002876BF">
        <w:rPr>
          <w:sz w:val="28"/>
          <w:szCs w:val="28"/>
          <w:lang w:val="vi-VN"/>
        </w:rPr>
        <w:t>- Cột 8 = Cột (9+10+11);</w:t>
      </w:r>
    </w:p>
    <w:p w:rsidR="0076176D" w:rsidRPr="002876BF" w:rsidRDefault="0076176D" w:rsidP="0076176D">
      <w:pPr>
        <w:tabs>
          <w:tab w:val="left" w:pos="900"/>
        </w:tabs>
        <w:ind w:left="360" w:firstLine="360"/>
        <w:jc w:val="both"/>
        <w:rPr>
          <w:sz w:val="28"/>
          <w:szCs w:val="28"/>
          <w:lang w:val="vi-VN"/>
        </w:rPr>
      </w:pPr>
      <w:r w:rsidRPr="002876BF">
        <w:rPr>
          <w:sz w:val="28"/>
          <w:szCs w:val="28"/>
          <w:lang w:val="vi-VN"/>
        </w:rPr>
        <w:t>- Cột 12: Là phần kết xuất sau khi tính toán chi phí tuân thủ TTHC theo tỉ lệ %. Phần kết xuất này được cài đặt tự động trên bảng excel. File excel này đã có các công thức cần thiết. Người sử dụng chỉ cần nhập các dữ liệu vào các ô có liên quan mà không cần phải lập công thức. Sau khi điền đủ và đúng số liệu đã thu thập được theo hướng dẫn, bảng excel sẽ tự động tính toán các chi phí tuân thủ thủ tục hành chính và cho biết số liệu theo từng hoạt động của thủ tục hành chính và tổng cộng đối với tất cả thủ tục hành chính.</w:t>
      </w:r>
    </w:p>
    <w:p w:rsidR="0076176D" w:rsidRPr="002876BF" w:rsidRDefault="0076176D" w:rsidP="0076176D">
      <w:pPr>
        <w:tabs>
          <w:tab w:val="left" w:pos="900"/>
        </w:tabs>
        <w:ind w:left="360" w:firstLine="360"/>
        <w:jc w:val="both"/>
        <w:rPr>
          <w:sz w:val="28"/>
          <w:szCs w:val="28"/>
        </w:rPr>
      </w:pPr>
      <w:r w:rsidRPr="002876BF">
        <w:rPr>
          <w:sz w:val="28"/>
          <w:szCs w:val="28"/>
          <w:lang w:val="vi-VN"/>
        </w:rPr>
        <w:t>Công thức tính tỷ lệ chi phí tiết kiệm được tại cột 12 như sau:</w:t>
      </w:r>
    </w:p>
    <w:p w:rsidR="0076176D" w:rsidRPr="002876BF" w:rsidRDefault="0076176D" w:rsidP="0076176D">
      <w:pPr>
        <w:tabs>
          <w:tab w:val="left" w:pos="900"/>
        </w:tabs>
        <w:ind w:left="360" w:firstLine="360"/>
        <w:jc w:val="both"/>
        <w:rPr>
          <w:sz w:val="28"/>
          <w:szCs w:val="28"/>
        </w:rPr>
      </w:pPr>
    </w:p>
    <w:p w:rsidR="0076176D" w:rsidRPr="0076176D" w:rsidRDefault="0076176D" w:rsidP="0076176D">
      <w:pPr>
        <w:ind w:left="709"/>
        <w:rPr>
          <w:b/>
          <w:sz w:val="28"/>
          <w:szCs w:val="28"/>
        </w:rPr>
      </w:pPr>
      <m:oMathPara>
        <m:oMath>
          <m:r>
            <m:rPr>
              <m:sty m:val="b"/>
            </m:rPr>
            <w:rPr>
              <w:rFonts w:ascii="Cambria Math"/>
              <w:sz w:val="26"/>
              <w:szCs w:val="26"/>
            </w:rPr>
            <m:t>-</m:t>
          </m:r>
          <m:r>
            <m:rPr>
              <m:sty m:val="b"/>
            </m:rPr>
            <w:rPr>
              <w:rFonts w:ascii="Cambria Math"/>
              <w:sz w:val="26"/>
              <w:szCs w:val="26"/>
            </w:rPr>
            <m:t xml:space="preserve"> </m:t>
          </m:r>
          <m:r>
            <m:rPr>
              <m:sty m:val="b"/>
            </m:rPr>
            <w:rPr>
              <w:rFonts w:ascii="Cambria Math" w:hAnsi="Cambria Math"/>
              <w:sz w:val="26"/>
              <w:szCs w:val="26"/>
            </w:rPr>
            <m:t>Cột</m:t>
          </m:r>
          <m:r>
            <m:rPr>
              <m:sty m:val="b"/>
            </m:rPr>
            <w:rPr>
              <w:rFonts w:ascii="Cambria Math"/>
              <w:sz w:val="26"/>
              <w:szCs w:val="26"/>
            </w:rPr>
            <m:t xml:space="preserve"> </m:t>
          </m:r>
          <m:r>
            <m:rPr>
              <m:sty m:val="b"/>
            </m:rPr>
            <w:rPr>
              <w:rFonts w:ascii="Cambria Math" w:hAnsi="Cambria Math"/>
              <w:sz w:val="26"/>
              <w:szCs w:val="26"/>
            </w:rPr>
            <m:t>12</m:t>
          </m:r>
          <m:r>
            <m:rPr>
              <m:sty m:val="b"/>
            </m:rPr>
            <w:rPr>
              <w:rFonts w:ascii="Cambria Math"/>
              <w:sz w:val="26"/>
              <w:szCs w:val="26"/>
            </w:rPr>
            <m:t>=</m:t>
          </m:r>
          <m:f>
            <m:fPr>
              <m:ctrlPr>
                <w:rPr>
                  <w:rFonts w:ascii="Cambria Math" w:hAnsi="Cambria Math"/>
                  <w:sz w:val="26"/>
                  <w:szCs w:val="26"/>
                </w:rPr>
              </m:ctrlPr>
            </m:fPr>
            <m:num>
              <m:r>
                <m:rPr>
                  <m:sty m:val="p"/>
                </m:rPr>
                <w:rPr>
                  <w:rFonts w:ascii="Cambria Math"/>
                  <w:sz w:val="26"/>
                  <w:szCs w:val="26"/>
                </w:rPr>
                <m:t>T</m:t>
              </m:r>
              <m:r>
                <m:rPr>
                  <m:sty m:val="p"/>
                </m:rPr>
                <w:rPr>
                  <w:rFonts w:ascii="Cambria Math" w:hAnsi="Cambria Math"/>
                  <w:sz w:val="26"/>
                  <w:szCs w:val="26"/>
                </w:rPr>
                <m:t>ổ</m:t>
              </m:r>
              <m:r>
                <m:rPr>
                  <m:sty m:val="p"/>
                </m:rPr>
                <w:rPr>
                  <w:rFonts w:ascii="Cambria Math"/>
                  <w:sz w:val="26"/>
                  <w:szCs w:val="26"/>
                </w:rPr>
                <m:t>ng chi ph</m:t>
              </m:r>
              <m:r>
                <m:rPr>
                  <m:sty m:val="p"/>
                </m:rPr>
                <w:rPr>
                  <w:rFonts w:ascii="Cambria Math" w:hAnsi="Cambria Math"/>
                  <w:sz w:val="26"/>
                  <w:szCs w:val="26"/>
                </w:rPr>
                <m:t>í</m:t>
              </m:r>
              <m:r>
                <m:rPr>
                  <m:sty m:val="p"/>
                </m:rPr>
                <w:rPr>
                  <w:rFonts w:ascii="Cambria Math"/>
                  <w:sz w:val="26"/>
                  <w:szCs w:val="26"/>
                </w:rPr>
                <m:t xml:space="preserve"> c</m:t>
              </m:r>
              <m:r>
                <m:rPr>
                  <m:sty m:val="p"/>
                </m:rPr>
                <w:rPr>
                  <w:rFonts w:ascii="Cambria Math" w:hAnsi="Cambria Math"/>
                  <w:sz w:val="26"/>
                  <w:szCs w:val="26"/>
                </w:rPr>
                <m:t>ủ</m:t>
              </m:r>
              <m:r>
                <m:rPr>
                  <m:sty m:val="p"/>
                </m:rPr>
                <w:rPr>
                  <w:rFonts w:ascii="Cambria Math"/>
                  <w:sz w:val="26"/>
                  <w:szCs w:val="26"/>
                </w:rPr>
                <m:t>a TTHC hi</m:t>
              </m:r>
              <m:r>
                <m:rPr>
                  <m:sty m:val="p"/>
                </m:rPr>
                <w:rPr>
                  <w:rFonts w:ascii="Cambria Math" w:hAnsi="Cambria Math"/>
                  <w:sz w:val="26"/>
                  <w:szCs w:val="26"/>
                </w:rPr>
                <m:t>ệ</m:t>
              </m:r>
              <m:r>
                <m:rPr>
                  <m:sty m:val="p"/>
                </m:rPr>
                <w:rPr>
                  <w:rFonts w:ascii="Cambria Math"/>
                  <w:sz w:val="26"/>
                  <w:szCs w:val="26"/>
                </w:rPr>
                <m:t>n t</m:t>
              </m:r>
              <m:r>
                <m:rPr>
                  <m:sty m:val="p"/>
                </m:rPr>
                <w:rPr>
                  <w:rFonts w:ascii="Cambria Math" w:hAnsi="Cambria Math"/>
                  <w:sz w:val="26"/>
                  <w:szCs w:val="26"/>
                </w:rPr>
                <m:t>ạ</m:t>
              </m:r>
              <m:r>
                <m:rPr>
                  <m:sty m:val="p"/>
                </m:rPr>
                <w:rPr>
                  <w:rFonts w:ascii="Cambria Math"/>
                  <w:sz w:val="26"/>
                  <w:szCs w:val="26"/>
                </w:rPr>
                <m:t>i</m:t>
              </m:r>
              <m:r>
                <m:rPr>
                  <m:sty m:val="p"/>
                </m:rPr>
                <w:rPr>
                  <w:rFonts w:ascii="Cambria Math" w:hAnsi="Cambria Math"/>
                  <w:sz w:val="26"/>
                  <w:szCs w:val="26"/>
                </w:rPr>
                <m:t>-</m:t>
              </m:r>
              <m:r>
                <m:rPr>
                  <m:sty m:val="p"/>
                </m:rPr>
                <w:rPr>
                  <w:rFonts w:ascii="Cambria Math"/>
                  <w:sz w:val="26"/>
                  <w:szCs w:val="26"/>
                </w:rPr>
                <m:t>T</m:t>
              </m:r>
              <m:r>
                <m:rPr>
                  <m:sty m:val="p"/>
                </m:rPr>
                <w:rPr>
                  <w:rFonts w:ascii="Cambria Math" w:hAnsi="Cambria Math"/>
                  <w:sz w:val="26"/>
                  <w:szCs w:val="26"/>
                </w:rPr>
                <m:t>ổ</m:t>
              </m:r>
              <m:r>
                <m:rPr>
                  <m:sty m:val="p"/>
                </m:rPr>
                <w:rPr>
                  <w:rFonts w:ascii="Cambria Math"/>
                  <w:sz w:val="26"/>
                  <w:szCs w:val="26"/>
                </w:rPr>
                <m:t>ng chi ph</m:t>
              </m:r>
              <m:r>
                <m:rPr>
                  <m:sty m:val="p"/>
                </m:rPr>
                <w:rPr>
                  <w:rFonts w:ascii="Cambria Math" w:hAnsi="Cambria Math"/>
                  <w:sz w:val="26"/>
                  <w:szCs w:val="26"/>
                </w:rPr>
                <m:t>í</m:t>
              </m:r>
              <m:r>
                <m:rPr>
                  <m:sty m:val="p"/>
                </m:rPr>
                <w:rPr>
                  <w:rFonts w:ascii="Cambria Math"/>
                  <w:sz w:val="26"/>
                  <w:szCs w:val="26"/>
                </w:rPr>
                <m:t xml:space="preserve"> TTHC sau </m:t>
              </m:r>
              <m:r>
                <m:rPr>
                  <m:sty m:val="p"/>
                </m:rPr>
                <w:rPr>
                  <w:rFonts w:ascii="Cambria Math" w:hAnsi="Cambria Math"/>
                  <w:sz w:val="26"/>
                  <w:szCs w:val="26"/>
                </w:rPr>
                <m:t>Đ</m:t>
              </m:r>
              <m:r>
                <m:rPr>
                  <m:sty m:val="p"/>
                </m:rPr>
                <w:rPr>
                  <w:rFonts w:ascii="Cambria Math"/>
                  <w:sz w:val="26"/>
                  <w:szCs w:val="26"/>
                </w:rPr>
                <m:t>GH</m:t>
              </m:r>
            </m:num>
            <m:den>
              <m:r>
                <m:rPr>
                  <m:sty m:val="p"/>
                </m:rPr>
                <w:rPr>
                  <w:rFonts w:ascii="Cambria Math"/>
                  <w:sz w:val="26"/>
                  <w:szCs w:val="26"/>
                </w:rPr>
                <m:t>T</m:t>
              </m:r>
              <m:r>
                <m:rPr>
                  <m:sty m:val="p"/>
                </m:rPr>
                <w:rPr>
                  <w:rFonts w:ascii="Cambria Math" w:hAnsi="Cambria Math"/>
                  <w:sz w:val="26"/>
                  <w:szCs w:val="26"/>
                </w:rPr>
                <m:t>ổ</m:t>
              </m:r>
              <m:r>
                <m:rPr>
                  <m:sty m:val="p"/>
                </m:rPr>
                <w:rPr>
                  <w:rFonts w:ascii="Cambria Math"/>
                  <w:sz w:val="26"/>
                  <w:szCs w:val="26"/>
                </w:rPr>
                <m:t>ng chi ph</m:t>
              </m:r>
              <m:r>
                <m:rPr>
                  <m:sty m:val="p"/>
                </m:rPr>
                <w:rPr>
                  <w:rFonts w:ascii="Cambria Math" w:hAnsi="Cambria Math"/>
                  <w:sz w:val="26"/>
                  <w:szCs w:val="26"/>
                </w:rPr>
                <m:t>í</m:t>
              </m:r>
              <m:r>
                <m:rPr>
                  <m:sty m:val="p"/>
                </m:rPr>
                <w:rPr>
                  <w:rFonts w:ascii="Cambria Math"/>
                  <w:sz w:val="26"/>
                  <w:szCs w:val="26"/>
                </w:rPr>
                <m:t xml:space="preserve"> c</m:t>
              </m:r>
              <m:r>
                <m:rPr>
                  <m:sty m:val="p"/>
                </m:rPr>
                <w:rPr>
                  <w:rFonts w:ascii="Cambria Math" w:hAnsi="Cambria Math"/>
                  <w:sz w:val="26"/>
                  <w:szCs w:val="26"/>
                </w:rPr>
                <m:t>ủ</m:t>
              </m:r>
              <m:r>
                <m:rPr>
                  <m:sty m:val="p"/>
                </m:rPr>
                <w:rPr>
                  <w:rFonts w:ascii="Cambria Math"/>
                  <w:sz w:val="26"/>
                  <w:szCs w:val="26"/>
                </w:rPr>
                <m:t>a TTHC hi</m:t>
              </m:r>
              <m:r>
                <m:rPr>
                  <m:sty m:val="p"/>
                </m:rPr>
                <w:rPr>
                  <w:rFonts w:ascii="Cambria Math" w:hAnsi="Cambria Math"/>
                  <w:sz w:val="26"/>
                  <w:szCs w:val="26"/>
                </w:rPr>
                <m:t>ệ</m:t>
              </m:r>
              <m:r>
                <m:rPr>
                  <m:sty m:val="p"/>
                </m:rPr>
                <w:rPr>
                  <w:rFonts w:ascii="Cambria Math"/>
                  <w:sz w:val="26"/>
                  <w:szCs w:val="26"/>
                </w:rPr>
                <m:t>n t</m:t>
              </m:r>
              <m:r>
                <m:rPr>
                  <m:sty m:val="p"/>
                </m:rPr>
                <w:rPr>
                  <w:rFonts w:ascii="Cambria Math" w:hAnsi="Cambria Math"/>
                  <w:sz w:val="26"/>
                  <w:szCs w:val="26"/>
                </w:rPr>
                <m:t>ạ</m:t>
              </m:r>
              <m:r>
                <m:rPr>
                  <m:sty m:val="p"/>
                </m:rPr>
                <w:rPr>
                  <w:rFonts w:ascii="Cambria Math"/>
                  <w:sz w:val="26"/>
                  <w:szCs w:val="26"/>
                </w:rPr>
                <m:t>i</m:t>
              </m:r>
            </m:den>
          </m:f>
          <m:r>
            <m:rPr>
              <m:sty m:val="p"/>
            </m:rPr>
            <w:rPr>
              <w:rFonts w:ascii="Cambria Math"/>
              <w:sz w:val="26"/>
              <w:szCs w:val="26"/>
            </w:rPr>
            <m:t xml:space="preserve"> 100%</m:t>
          </m:r>
        </m:oMath>
      </m:oMathPara>
    </w:p>
    <w:p w:rsidR="0076176D" w:rsidRPr="002876BF" w:rsidRDefault="0076176D" w:rsidP="0076176D">
      <w:pPr>
        <w:ind w:left="709"/>
        <w:rPr>
          <w:b/>
          <w:sz w:val="28"/>
          <w:szCs w:val="28"/>
        </w:rPr>
      </w:pPr>
    </w:p>
    <w:p w:rsidR="0076176D" w:rsidRPr="002876BF" w:rsidRDefault="0076176D" w:rsidP="0076176D">
      <w:pPr>
        <w:ind w:firstLine="720"/>
        <w:jc w:val="both"/>
        <w:rPr>
          <w:b/>
          <w:i/>
          <w:sz w:val="28"/>
          <w:szCs w:val="28"/>
          <w:lang w:val="vi-VN"/>
        </w:rPr>
      </w:pPr>
      <w:r w:rsidRPr="002876BF">
        <w:rPr>
          <w:b/>
          <w:sz w:val="28"/>
          <w:szCs w:val="28"/>
          <w:lang w:val="vi-VN"/>
        </w:rPr>
        <w:t>3. Nguồn số liệu:</w:t>
      </w:r>
    </w:p>
    <w:p w:rsidR="0076176D" w:rsidRPr="002876BF" w:rsidRDefault="0076176D" w:rsidP="0076176D">
      <w:pPr>
        <w:ind w:firstLine="720"/>
        <w:jc w:val="both"/>
        <w:rPr>
          <w:sz w:val="28"/>
          <w:szCs w:val="28"/>
          <w:lang w:val="vi-VN"/>
        </w:rPr>
      </w:pPr>
      <w:r w:rsidRPr="002876BF">
        <w:rPr>
          <w:sz w:val="28"/>
          <w:szCs w:val="28"/>
          <w:lang w:val="vi-VN"/>
        </w:rPr>
        <w:t xml:space="preserve">Từ số liệu báo cáo của các </w:t>
      </w:r>
      <w:r>
        <w:rPr>
          <w:sz w:val="28"/>
          <w:szCs w:val="28"/>
        </w:rPr>
        <w:t>b</w:t>
      </w:r>
      <w:r>
        <w:rPr>
          <w:sz w:val="28"/>
          <w:szCs w:val="28"/>
          <w:lang w:val="vi-VN"/>
        </w:rPr>
        <w:t>ộ, cơ quan ngang bộ</w:t>
      </w:r>
      <w:r w:rsidRPr="002876BF">
        <w:rPr>
          <w:sz w:val="28"/>
          <w:szCs w:val="28"/>
          <w:lang w:val="vi-VN"/>
        </w:rPr>
        <w:t>, các cơ quan: Bảo hiểm xã hội Việt Nam, Ngân hàng Chính sách xã hội, Ngân hàng Phát triển Việt Nam và các UBND tỉnh, thành phố trực thuộc Trung ương.</w:t>
      </w:r>
    </w:p>
    <w:p w:rsidR="00A6658C" w:rsidRDefault="00A6658C" w:rsidP="0076176D">
      <w:bookmarkStart w:id="0" w:name="_GoBack"/>
      <w:bookmarkEnd w:id="0"/>
    </w:p>
    <w:sectPr w:rsidR="00A6658C" w:rsidSect="0076176D">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6D"/>
    <w:rsid w:val="005116EA"/>
    <w:rsid w:val="0059118F"/>
    <w:rsid w:val="0076176D"/>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C02AA-98EA-49E9-8CD9-2396D3B8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6D"/>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690BC-11B6-4E3C-9F0A-5A246998C7B8}"/>
</file>

<file path=customXml/itemProps2.xml><?xml version="1.0" encoding="utf-8"?>
<ds:datastoreItem xmlns:ds="http://schemas.openxmlformats.org/officeDocument/2006/customXml" ds:itemID="{1DDD840A-261A-4EF3-8BD7-DBBBD20DB735}"/>
</file>

<file path=customXml/itemProps3.xml><?xml version="1.0" encoding="utf-8"?>
<ds:datastoreItem xmlns:ds="http://schemas.openxmlformats.org/officeDocument/2006/customXml" ds:itemID="{B1775EE8-32D3-4846-BF2F-C2E6FBB592AB}"/>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2016-05-06T11:03:00Z</dcterms:created>
  <dcterms:modified xsi:type="dcterms:W3CDTF">2016-05-06T11:03:00Z</dcterms:modified>
</cp:coreProperties>
</file>